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sz w:val="28"/>
        </w:rPr>
      </w:pPr>
      <w:r>
        <w:rPr>
          <w:rFonts w:hint="eastAsia" w:ascii="宋体" w:hAnsi="宋体" w:eastAsia="宋体" w:cs="宋体"/>
        </w:rPr>
        <mc:AlternateContent>
          <mc:Choice Requires="wps">
            <w:drawing>
              <wp:anchor distT="0" distB="0" distL="114300" distR="114300" simplePos="0" relativeHeight="251659264" behindDoc="0" locked="0" layoutInCell="1" allowOverlap="1">
                <wp:simplePos x="0" y="0"/>
                <wp:positionH relativeFrom="column">
                  <wp:posOffset>-334010</wp:posOffset>
                </wp:positionH>
                <wp:positionV relativeFrom="paragraph">
                  <wp:posOffset>63500</wp:posOffset>
                </wp:positionV>
                <wp:extent cx="5866130" cy="1399540"/>
                <wp:effectExtent l="0" t="0" r="1270" b="10160"/>
                <wp:wrapNone/>
                <wp:docPr id="3" name="文本框 3"/>
                <wp:cNvGraphicFramePr/>
                <a:graphic xmlns:a="http://schemas.openxmlformats.org/drawingml/2006/main">
                  <a:graphicData uri="http://schemas.microsoft.com/office/word/2010/wordprocessingShape">
                    <wps:wsp>
                      <wps:cNvSpPr txBox="1"/>
                      <wps:spPr>
                        <a:xfrm>
                          <a:off x="0" y="0"/>
                          <a:ext cx="5866130" cy="139954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b/>
                                <w:bCs/>
                                <w:sz w:val="22"/>
                                <w:szCs w:val="28"/>
                              </w:rPr>
                            </w:pPr>
                            <w:r>
                              <w:rPr>
                                <w:rFonts w:hint="eastAsia"/>
                                <w:b/>
                                <w:bCs/>
                                <w:color w:val="FF0000"/>
                                <w:sz w:val="72"/>
                                <w:szCs w:val="72"/>
                              </w:rPr>
                              <w:t>湖北大学文件</w:t>
                            </w:r>
                          </w:p>
                          <w:p>
                            <w:pPr>
                              <w:spacing w:before="156" w:beforeLines="50"/>
                              <w:jc w:val="center"/>
                              <w:rPr>
                                <w:rFonts w:asciiTheme="majorEastAsia" w:hAnsiTheme="majorEastAsia" w:eastAsiaTheme="majorEastAsia" w:cstheme="majorEastAsia"/>
                                <w:sz w:val="28"/>
                                <w:szCs w:val="36"/>
                              </w:rPr>
                            </w:pPr>
                            <w:r>
                              <w:rPr>
                                <w:rFonts w:hint="eastAsia" w:asciiTheme="majorEastAsia" w:hAnsiTheme="majorEastAsia" w:eastAsiaTheme="majorEastAsia" w:cstheme="majorEastAsia"/>
                                <w:sz w:val="28"/>
                                <w:szCs w:val="36"/>
                              </w:rPr>
                              <w:t xml:space="preserve">校教字 [2021] </w:t>
                            </w:r>
                            <w:r>
                              <w:rPr>
                                <w:rFonts w:hint="eastAsia" w:asciiTheme="majorEastAsia" w:hAnsiTheme="majorEastAsia" w:eastAsiaTheme="majorEastAsia" w:cstheme="majorEastAsia"/>
                                <w:sz w:val="28"/>
                                <w:szCs w:val="36"/>
                                <w:lang w:val="en-US" w:eastAsia="zh-CN"/>
                              </w:rPr>
                              <w:t>1</w:t>
                            </w:r>
                            <w:r>
                              <w:rPr>
                                <w:rFonts w:hint="eastAsia" w:asciiTheme="majorEastAsia" w:hAnsiTheme="majorEastAsia" w:eastAsiaTheme="majorEastAsia" w:cstheme="majorEastAsia"/>
                                <w:sz w:val="28"/>
                                <w:szCs w:val="36"/>
                              </w:rPr>
                              <w:t>号</w:t>
                            </w:r>
                          </w:p>
                          <w:p>
                            <w:pPr>
                              <w:jc w:val="center"/>
                              <w:rPr>
                                <w:rFonts w:asciiTheme="majorEastAsia" w:hAnsiTheme="majorEastAsia" w:eastAsiaTheme="majorEastAsia" w:cstheme="majorEastAsia"/>
                                <w:sz w:val="24"/>
                                <w:szCs w:val="32"/>
                              </w:rPr>
                            </w:pPr>
                          </w:p>
                          <w:p>
                            <w:pPr>
                              <w:spacing w:before="156" w:beforeLines="50"/>
                              <w:jc w:val="center"/>
                              <w:rPr>
                                <w:rFonts w:asciiTheme="majorEastAsia" w:hAnsiTheme="majorEastAsia" w:eastAsiaTheme="majorEastAsia" w:cstheme="majorEastAsia"/>
                                <w:sz w:val="28"/>
                                <w:szCs w:val="36"/>
                              </w:rPr>
                            </w:pPr>
                            <w:r>
                              <w:rPr>
                                <w:rFonts w:hint="eastAsia" w:asciiTheme="majorEastAsia" w:hAnsiTheme="majorEastAsia" w:eastAsiaTheme="majorEastAsia" w:cstheme="majorEastAsia"/>
                                <w:sz w:val="28"/>
                                <w:szCs w:val="36"/>
                              </w:rPr>
                              <w:t xml:space="preserve">校教字 [2021] </w:t>
                            </w:r>
                            <w:r>
                              <w:rPr>
                                <w:rFonts w:asciiTheme="majorEastAsia" w:hAnsiTheme="majorEastAsia" w:eastAsiaTheme="majorEastAsia" w:cstheme="majorEastAsia"/>
                                <w:sz w:val="28"/>
                                <w:szCs w:val="36"/>
                              </w:rPr>
                              <w:t>2</w:t>
                            </w:r>
                            <w:r>
                              <w:rPr>
                                <w:rFonts w:hint="eastAsia" w:asciiTheme="majorEastAsia" w:hAnsiTheme="majorEastAsia" w:eastAsiaTheme="majorEastAsia" w:cstheme="majorEastAsia"/>
                                <w:sz w:val="28"/>
                                <w:szCs w:val="36"/>
                              </w:rPr>
                              <w:t>-1</w:t>
                            </w:r>
                            <w:r>
                              <w:rPr>
                                <w:rFonts w:asciiTheme="majorEastAsia" w:hAnsiTheme="majorEastAsia" w:eastAsiaTheme="majorEastAsia" w:cstheme="majorEastAsia"/>
                                <w:sz w:val="28"/>
                                <w:szCs w:val="36"/>
                              </w:rPr>
                              <w:t>0</w:t>
                            </w:r>
                            <w:r>
                              <w:rPr>
                                <w:rFonts w:hint="eastAsia" w:asciiTheme="majorEastAsia" w:hAnsiTheme="majorEastAsia" w:eastAsiaTheme="majorEastAsia" w:cstheme="majorEastAsia"/>
                                <w:sz w:val="28"/>
                                <w:szCs w:val="36"/>
                              </w:rPr>
                              <w:t>号</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pt;margin-top:5pt;height:110.2pt;width:461.9pt;z-index:251659264;mso-width-relative:page;mso-height-relative:page;" fillcolor="#FFFFFF [3201]" filled="t" stroked="f" coordsize="21600,21600" o:gfxdata="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IICaAnVAAAACgEAAA8A&#10;AAAAAAAAAQAgAAAAIgAAAGRycy9kb3ducmV2LnhtbFBLAQIUABQAAAAIAIdO4kCtx3fVUwIAAJAE&#10;AAAOAAAAAAAAAAEAIAAAACQBAABkcnMvZTJvRG9jLnhtbFBLBQYAAAAABgAGAFkBAADpBQAAAAA=&#10;">
                <v:fill on="t" focussize="0,0"/>
                <v:stroke on="f" weight="0.5pt"/>
                <v:imagedata o:title=""/>
                <o:lock v:ext="edit" aspectratio="f"/>
                <v:textbox>
                  <w:txbxContent>
                    <w:p>
                      <w:pPr>
                        <w:jc w:val="center"/>
                        <w:rPr>
                          <w:b/>
                          <w:bCs/>
                          <w:sz w:val="22"/>
                          <w:szCs w:val="28"/>
                        </w:rPr>
                      </w:pPr>
                      <w:r>
                        <w:rPr>
                          <w:rFonts w:hint="eastAsia"/>
                          <w:b/>
                          <w:bCs/>
                          <w:color w:val="FF0000"/>
                          <w:sz w:val="72"/>
                          <w:szCs w:val="72"/>
                        </w:rPr>
                        <w:t>湖北大学文件</w:t>
                      </w:r>
                    </w:p>
                    <w:p>
                      <w:pPr>
                        <w:spacing w:before="156" w:beforeLines="50"/>
                        <w:jc w:val="center"/>
                        <w:rPr>
                          <w:rFonts w:asciiTheme="majorEastAsia" w:hAnsiTheme="majorEastAsia" w:eastAsiaTheme="majorEastAsia" w:cstheme="majorEastAsia"/>
                          <w:sz w:val="28"/>
                          <w:szCs w:val="36"/>
                        </w:rPr>
                      </w:pPr>
                      <w:r>
                        <w:rPr>
                          <w:rFonts w:hint="eastAsia" w:asciiTheme="majorEastAsia" w:hAnsiTheme="majorEastAsia" w:eastAsiaTheme="majorEastAsia" w:cstheme="majorEastAsia"/>
                          <w:sz w:val="28"/>
                          <w:szCs w:val="36"/>
                        </w:rPr>
                        <w:t xml:space="preserve">校教字 [2021] </w:t>
                      </w:r>
                      <w:r>
                        <w:rPr>
                          <w:rFonts w:hint="eastAsia" w:asciiTheme="majorEastAsia" w:hAnsiTheme="majorEastAsia" w:eastAsiaTheme="majorEastAsia" w:cstheme="majorEastAsia"/>
                          <w:sz w:val="28"/>
                          <w:szCs w:val="36"/>
                          <w:lang w:val="en-US" w:eastAsia="zh-CN"/>
                        </w:rPr>
                        <w:t>1</w:t>
                      </w:r>
                      <w:r>
                        <w:rPr>
                          <w:rFonts w:hint="eastAsia" w:asciiTheme="majorEastAsia" w:hAnsiTheme="majorEastAsia" w:eastAsiaTheme="majorEastAsia" w:cstheme="majorEastAsia"/>
                          <w:sz w:val="28"/>
                          <w:szCs w:val="36"/>
                        </w:rPr>
                        <w:t>号</w:t>
                      </w:r>
                    </w:p>
                    <w:p>
                      <w:pPr>
                        <w:jc w:val="center"/>
                        <w:rPr>
                          <w:rFonts w:asciiTheme="majorEastAsia" w:hAnsiTheme="majorEastAsia" w:eastAsiaTheme="majorEastAsia" w:cstheme="majorEastAsia"/>
                          <w:sz w:val="24"/>
                          <w:szCs w:val="32"/>
                        </w:rPr>
                      </w:pPr>
                    </w:p>
                    <w:p>
                      <w:pPr>
                        <w:spacing w:before="156" w:beforeLines="50"/>
                        <w:jc w:val="center"/>
                        <w:rPr>
                          <w:rFonts w:asciiTheme="majorEastAsia" w:hAnsiTheme="majorEastAsia" w:eastAsiaTheme="majorEastAsia" w:cstheme="majorEastAsia"/>
                          <w:sz w:val="28"/>
                          <w:szCs w:val="36"/>
                        </w:rPr>
                      </w:pPr>
                      <w:r>
                        <w:rPr>
                          <w:rFonts w:hint="eastAsia" w:asciiTheme="majorEastAsia" w:hAnsiTheme="majorEastAsia" w:eastAsiaTheme="majorEastAsia" w:cstheme="majorEastAsia"/>
                          <w:sz w:val="28"/>
                          <w:szCs w:val="36"/>
                        </w:rPr>
                        <w:t xml:space="preserve">校教字 [2021] </w:t>
                      </w:r>
                      <w:r>
                        <w:rPr>
                          <w:rFonts w:asciiTheme="majorEastAsia" w:hAnsiTheme="majorEastAsia" w:eastAsiaTheme="majorEastAsia" w:cstheme="majorEastAsia"/>
                          <w:sz w:val="28"/>
                          <w:szCs w:val="36"/>
                        </w:rPr>
                        <w:t>2</w:t>
                      </w:r>
                      <w:r>
                        <w:rPr>
                          <w:rFonts w:hint="eastAsia" w:asciiTheme="majorEastAsia" w:hAnsiTheme="majorEastAsia" w:eastAsiaTheme="majorEastAsia" w:cstheme="majorEastAsia"/>
                          <w:sz w:val="28"/>
                          <w:szCs w:val="36"/>
                        </w:rPr>
                        <w:t>-1</w:t>
                      </w:r>
                      <w:r>
                        <w:rPr>
                          <w:rFonts w:asciiTheme="majorEastAsia" w:hAnsiTheme="majorEastAsia" w:eastAsiaTheme="majorEastAsia" w:cstheme="majorEastAsia"/>
                          <w:sz w:val="28"/>
                          <w:szCs w:val="36"/>
                        </w:rPr>
                        <w:t>0</w:t>
                      </w:r>
                      <w:r>
                        <w:rPr>
                          <w:rFonts w:hint="eastAsia" w:asciiTheme="majorEastAsia" w:hAnsiTheme="majorEastAsia" w:eastAsiaTheme="majorEastAsia" w:cstheme="majorEastAsia"/>
                          <w:sz w:val="28"/>
                          <w:szCs w:val="36"/>
                        </w:rPr>
                        <w:t>号</w:t>
                      </w:r>
                    </w:p>
                  </w:txbxContent>
                </v:textbox>
              </v:shape>
            </w:pict>
          </mc:Fallback>
        </mc:AlternateContent>
      </w:r>
    </w:p>
    <w:p>
      <w:pPr>
        <w:jc w:val="center"/>
        <w:rPr>
          <w:rFonts w:hint="eastAsia"/>
          <w:b/>
          <w:sz w:val="28"/>
        </w:rPr>
      </w:pPr>
    </w:p>
    <w:p>
      <w:pPr>
        <w:jc w:val="center"/>
        <w:rPr>
          <w:rFonts w:hint="eastAsia"/>
          <w:b/>
          <w:sz w:val="28"/>
        </w:rPr>
      </w:pPr>
    </w:p>
    <w:p>
      <w:pPr>
        <w:jc w:val="center"/>
        <w:rPr>
          <w:rFonts w:hint="eastAsia"/>
          <w:b/>
          <w:sz w:val="28"/>
        </w:rPr>
      </w:pPr>
    </w:p>
    <w:p>
      <w:pPr>
        <w:jc w:val="center"/>
        <w:rPr>
          <w:b/>
          <w:sz w:val="28"/>
        </w:rPr>
      </w:pPr>
      <w:r>
        <w:rPr>
          <w:rFonts w:hint="eastAsia"/>
          <w:b/>
          <w:sz w:val="28"/>
        </w:rPr>
        <w:t>湖北大学“第二课堂成绩单”制度实施办法（试行）</w:t>
      </w:r>
    </w:p>
    <w:p/>
    <w:p>
      <w:pPr>
        <w:jc w:val="center"/>
        <w:rPr>
          <w:b/>
          <w:sz w:val="24"/>
        </w:rPr>
      </w:pPr>
      <w:r>
        <w:rPr>
          <w:rFonts w:hint="eastAsia"/>
          <w:b/>
          <w:sz w:val="24"/>
        </w:rPr>
        <w:t>第一章</w:t>
      </w:r>
      <w:r>
        <w:rPr>
          <w:b/>
          <w:sz w:val="24"/>
        </w:rPr>
        <w:t xml:space="preserve"> 总则</w:t>
      </w:r>
    </w:p>
    <w:p>
      <w:pPr>
        <w:spacing w:line="276" w:lineRule="auto"/>
        <w:rPr>
          <w:sz w:val="22"/>
        </w:rPr>
      </w:pPr>
      <w:r>
        <w:rPr>
          <w:rFonts w:hint="eastAsia"/>
          <w:sz w:val="22"/>
        </w:rPr>
        <w:t xml:space="preserve">    第一条</w:t>
      </w:r>
      <w:r>
        <w:rPr>
          <w:sz w:val="22"/>
        </w:rPr>
        <w:t xml:space="preserve"> 为深入学习贯彻习近平新时代中国特色社会主义思想和党的十九大精神，全面落实《共青团中央 教育部关于印发&lt;关于在高校实施共青团“第二课堂成绩单”制度的意见&gt;的通知》（中青联发﹝2018﹞5号）文件要求，切实发挥好共青团服务学校立德树人根本任务和人才培养中心工作的重要作用，结合学校工作实际，特制定本办法。</w:t>
      </w:r>
    </w:p>
    <w:p>
      <w:pPr>
        <w:spacing w:line="276" w:lineRule="auto"/>
        <w:rPr>
          <w:sz w:val="22"/>
        </w:rPr>
      </w:pPr>
      <w:r>
        <w:rPr>
          <w:rFonts w:hint="eastAsia"/>
          <w:sz w:val="22"/>
        </w:rPr>
        <w:t xml:space="preserve">    第二条</w:t>
      </w:r>
      <w:r>
        <w:rPr>
          <w:sz w:val="22"/>
        </w:rPr>
        <w:t xml:space="preserve"> 湖北大学“第二课堂成绩单”制度是充分借鉴第一课堂教学育人机制和工作体系，整体设计我校共青团工作内容、项目供给、评价体系和运行模式，实现共青团组织实施的思想政治引领、素质拓展提升、社会实践锻炼、志愿服务公益和自我管理服务等第二课堂活动的科学化、系统化、制度化、规范化，推进我校学生参与共青团第二课堂可记录、可评价、可测量、可呈现的一整套工作体系和工作制度，为学校人才培养评估、学生综合素质评价和社会单位选人用人提供重要依据。</w:t>
      </w:r>
    </w:p>
    <w:p>
      <w:pPr>
        <w:spacing w:line="276" w:lineRule="auto"/>
        <w:rPr>
          <w:sz w:val="22"/>
        </w:rPr>
      </w:pPr>
      <w:r>
        <w:rPr>
          <w:sz w:val="22"/>
        </w:rPr>
        <w:t xml:space="preserve">    </w:t>
      </w:r>
      <w:r>
        <w:rPr>
          <w:rFonts w:hint="eastAsia"/>
          <w:sz w:val="22"/>
        </w:rPr>
        <w:t>第三条</w:t>
      </w:r>
      <w:r>
        <w:rPr>
          <w:sz w:val="22"/>
        </w:rPr>
        <w:t xml:space="preserve"> 本办法适用于2018年及以后入学的全日制本科生。其他年级本科生、专科生和研究生参与第二课堂活动参照本办法执行。</w:t>
      </w:r>
    </w:p>
    <w:p>
      <w:pPr>
        <w:jc w:val="center"/>
        <w:rPr>
          <w:b/>
          <w:sz w:val="24"/>
        </w:rPr>
      </w:pPr>
      <w:r>
        <w:rPr>
          <w:rFonts w:hint="eastAsia"/>
          <w:b/>
          <w:sz w:val="24"/>
        </w:rPr>
        <w:t>第二章</w:t>
      </w:r>
      <w:r>
        <w:rPr>
          <w:b/>
          <w:sz w:val="24"/>
        </w:rPr>
        <w:t xml:space="preserve"> 组织管理</w:t>
      </w:r>
    </w:p>
    <w:p>
      <w:pPr>
        <w:spacing w:line="276" w:lineRule="auto"/>
        <w:rPr>
          <w:sz w:val="22"/>
        </w:rPr>
      </w:pPr>
      <w:r>
        <w:rPr>
          <w:rFonts w:hint="eastAsia"/>
          <w:sz w:val="22"/>
        </w:rPr>
        <w:t xml:space="preserve">    第四条</w:t>
      </w:r>
      <w:r>
        <w:rPr>
          <w:sz w:val="22"/>
        </w:rPr>
        <w:t xml:space="preserve"> 学校成立“第二课堂成绩单”制度工作领导小组，党委书记、校长任组长，分管党委副书记、联系副校长任副组长，党委办公室、校长办公室、组织部、宣传部、统战部、发展规划与目标管理督查办公室、学生工作部（处）、校团委、武装保卫部（处）、校工会、教务处、科研处、研究生工作部、招生就业处、计划财务处、后勤处、创新创业中心、图书馆和各二级学院作为成员单位。领导小组负责第二课堂项目的规划、建设、督导以及质量评估等工作。</w:t>
      </w:r>
    </w:p>
    <w:p>
      <w:pPr>
        <w:spacing w:line="276" w:lineRule="auto"/>
        <w:rPr>
          <w:sz w:val="22"/>
        </w:rPr>
      </w:pPr>
      <w:r>
        <w:rPr>
          <w:rFonts w:hint="eastAsia"/>
          <w:sz w:val="22"/>
        </w:rPr>
        <w:t xml:space="preserve">    第五条</w:t>
      </w:r>
      <w:r>
        <w:rPr>
          <w:sz w:val="22"/>
        </w:rPr>
        <w:t xml:space="preserve"> “第二课堂成绩单”工作领导小组办公室设在校团委，校团委书记兼任办公室主任，负责具体落实第二课堂人才培养体系方案、“第二课堂成绩单”网络管理系统“到梦空间”等平台的管理维护及学分认定、成绩单的认证发放，接受学生咨询、答疑及其他工作。</w:t>
      </w:r>
    </w:p>
    <w:p>
      <w:pPr>
        <w:spacing w:line="276" w:lineRule="auto"/>
        <w:rPr>
          <w:sz w:val="22"/>
        </w:rPr>
      </w:pPr>
      <w:r>
        <w:rPr>
          <w:sz w:val="22"/>
        </w:rPr>
        <w:t xml:space="preserve">    </w:t>
      </w:r>
      <w:r>
        <w:rPr>
          <w:rFonts w:hint="eastAsia"/>
          <w:sz w:val="22"/>
        </w:rPr>
        <w:t>第六条</w:t>
      </w:r>
      <w:r>
        <w:rPr>
          <w:sz w:val="22"/>
        </w:rPr>
        <w:t xml:space="preserve"> 各学院成立“第二课堂成绩单”工作实施小组，依照规定开展本学院相关工作，负责规划学院“第二课堂成绩单”项目建设、支持第二课堂活动开展、审核第二课堂成绩认定结果，以及学院本科生第二课堂成绩单学分的录入、汇总以及归档等工作。</w:t>
      </w:r>
    </w:p>
    <w:p>
      <w:pPr>
        <w:spacing w:line="276" w:lineRule="auto"/>
        <w:rPr>
          <w:sz w:val="22"/>
        </w:rPr>
      </w:pPr>
      <w:r>
        <w:rPr>
          <w:rFonts w:hint="eastAsia"/>
          <w:sz w:val="22"/>
        </w:rPr>
        <w:t xml:space="preserve">    第七条</w:t>
      </w:r>
      <w:r>
        <w:rPr>
          <w:sz w:val="22"/>
        </w:rPr>
        <w:t xml:space="preserve"> 结合我校实际，建立相应“第二课堂成绩单”配套文件和活动体系，保证项目实施的规范化、科学化。加强档案管理，做到资料齐全、立卷规范。</w:t>
      </w:r>
    </w:p>
    <w:p>
      <w:pPr>
        <w:jc w:val="center"/>
        <w:rPr>
          <w:b/>
          <w:sz w:val="24"/>
        </w:rPr>
      </w:pPr>
      <w:r>
        <w:rPr>
          <w:rFonts w:hint="eastAsia"/>
          <w:b/>
          <w:sz w:val="24"/>
        </w:rPr>
        <w:t>第三章</w:t>
      </w:r>
      <w:r>
        <w:rPr>
          <w:b/>
          <w:sz w:val="24"/>
        </w:rPr>
        <w:t xml:space="preserve"> 项目管理</w:t>
      </w:r>
    </w:p>
    <w:p>
      <w:pPr>
        <w:spacing w:line="276" w:lineRule="auto"/>
        <w:rPr>
          <w:sz w:val="22"/>
        </w:rPr>
      </w:pPr>
      <w:r>
        <w:rPr>
          <w:rFonts w:hint="eastAsia"/>
          <w:sz w:val="22"/>
        </w:rPr>
        <w:t xml:space="preserve">    第八条</w:t>
      </w:r>
      <w:r>
        <w:rPr>
          <w:sz w:val="22"/>
        </w:rPr>
        <w:t xml:space="preserve"> “第二课堂成绩单”项目按照类别设置为以下七大模块：</w:t>
      </w:r>
    </w:p>
    <w:p>
      <w:pPr>
        <w:spacing w:line="276" w:lineRule="auto"/>
        <w:rPr>
          <w:sz w:val="22"/>
        </w:rPr>
      </w:pPr>
      <w:r>
        <w:rPr>
          <w:sz w:val="22"/>
        </w:rPr>
        <w:t xml:space="preserve">    </w:t>
      </w:r>
      <w:r>
        <w:rPr>
          <w:rFonts w:hint="eastAsia"/>
          <w:sz w:val="22"/>
        </w:rPr>
        <w:t>思想素质养成。主要包括学生参加党校、团校、“青马工程”培训经历，学生参加思想引领类活动、比赛经历，以及获得的相关荣誉。</w:t>
      </w:r>
    </w:p>
    <w:p>
      <w:pPr>
        <w:spacing w:line="276" w:lineRule="auto"/>
        <w:rPr>
          <w:sz w:val="22"/>
        </w:rPr>
      </w:pPr>
      <w:r>
        <w:rPr>
          <w:rFonts w:hint="eastAsia"/>
          <w:sz w:val="22"/>
        </w:rPr>
        <w:t xml:space="preserve">    文艺体育项目。主要包括学生参与各级各类文化艺术体育活动的经历，以及获得的相关荣誉。</w:t>
      </w:r>
    </w:p>
    <w:p>
      <w:pPr>
        <w:spacing w:line="276" w:lineRule="auto"/>
        <w:rPr>
          <w:sz w:val="22"/>
        </w:rPr>
      </w:pPr>
      <w:r>
        <w:rPr>
          <w:rFonts w:hint="eastAsia"/>
          <w:sz w:val="22"/>
        </w:rPr>
        <w:t xml:space="preserve">    志愿公益服务。主要包括学生参与各类助残支教、社区服务、公益劳动、赛会服务、海外服务等志愿服务活动的经历，以及获得的相关荣誉。</w:t>
      </w:r>
    </w:p>
    <w:p>
      <w:pPr>
        <w:spacing w:line="276" w:lineRule="auto"/>
        <w:rPr>
          <w:sz w:val="22"/>
        </w:rPr>
      </w:pPr>
      <w:r>
        <w:rPr>
          <w:rFonts w:hint="eastAsia"/>
          <w:sz w:val="22"/>
        </w:rPr>
        <w:t xml:space="preserve">    创新创业创造。主要包括学生参与各级各类学术科技、创新创业竞赛和活动的经历及获得的相关荣誉，以及发表的学术论文、出版的学术专著、取得的技术专利等。</w:t>
      </w:r>
    </w:p>
    <w:p>
      <w:pPr>
        <w:spacing w:line="276" w:lineRule="auto"/>
        <w:rPr>
          <w:sz w:val="22"/>
        </w:rPr>
      </w:pPr>
      <w:r>
        <w:rPr>
          <w:rFonts w:hint="eastAsia"/>
          <w:sz w:val="22"/>
        </w:rPr>
        <w:t xml:space="preserve"> </w:t>
      </w:r>
      <w:r>
        <w:rPr>
          <w:sz w:val="22"/>
        </w:rPr>
        <w:t xml:space="preserve"> </w:t>
      </w:r>
      <w:r>
        <w:rPr>
          <w:rFonts w:hint="eastAsia"/>
          <w:sz w:val="22"/>
        </w:rPr>
        <w:t xml:space="preserve">  实践实习实训。主要包括学生参与寒假社会实践活动、“三下乡”暑期社会实践活动、“红色逐梦之旅”、英才计划、岗位见习及其他实践活动的经历，以及获得的相关荣誉。</w:t>
      </w:r>
    </w:p>
    <w:p>
      <w:pPr>
        <w:spacing w:line="276" w:lineRule="auto"/>
        <w:rPr>
          <w:sz w:val="22"/>
        </w:rPr>
      </w:pPr>
      <w:r>
        <w:rPr>
          <w:rFonts w:hint="eastAsia"/>
          <w:sz w:val="22"/>
        </w:rPr>
        <w:t xml:space="preserve">   </w:t>
      </w:r>
      <w:r>
        <w:rPr>
          <w:sz w:val="22"/>
        </w:rPr>
        <w:t xml:space="preserve"> </w:t>
      </w:r>
      <w:r>
        <w:rPr>
          <w:rFonts w:hint="eastAsia"/>
          <w:sz w:val="22"/>
        </w:rPr>
        <w:t>劳动体验课程。主要包括学校组织的劳动体验课，勤工俭学等校内学生劳动实践经历。</w:t>
      </w:r>
    </w:p>
    <w:p>
      <w:pPr>
        <w:spacing w:line="276" w:lineRule="auto"/>
        <w:rPr>
          <w:sz w:val="22"/>
        </w:rPr>
      </w:pPr>
      <w:r>
        <w:rPr>
          <w:rFonts w:hint="eastAsia"/>
          <w:sz w:val="22"/>
        </w:rPr>
        <w:t xml:space="preserve"> </w:t>
      </w:r>
      <w:r>
        <w:rPr>
          <w:sz w:val="22"/>
        </w:rPr>
        <w:t xml:space="preserve"> </w:t>
      </w:r>
      <w:r>
        <w:rPr>
          <w:rFonts w:hint="eastAsia"/>
          <w:sz w:val="22"/>
        </w:rPr>
        <w:t xml:space="preserve">  技能特长培养。主要包括学生在党团学（含学生社团）组织的工作任职履历、参加各类技能培训的经历，以及获得的相关荣誉。</w:t>
      </w:r>
    </w:p>
    <w:p>
      <w:pPr>
        <w:spacing w:line="276" w:lineRule="auto"/>
        <w:rPr>
          <w:sz w:val="22"/>
        </w:rPr>
      </w:pPr>
      <w:r>
        <w:rPr>
          <w:rFonts w:hint="eastAsia"/>
          <w:sz w:val="22"/>
        </w:rPr>
        <w:t xml:space="preserve">    第九条</w:t>
      </w:r>
      <w:r>
        <w:rPr>
          <w:sz w:val="22"/>
        </w:rPr>
        <w:t xml:space="preserve"> 学校每学期开学第一个月启动“第二课堂成绩单”项目申报工作，活动项目组织方按要求将组织开展的活动项目资料报送到“第二课堂成绩单”工作领导小组办公室，由工作领导小组组织评议，对新增加的活动项目进行审核、论证，对既有项目进行评估考核，形成第二课堂项目库。对于临时新增的特色精品活动，活动项目组织方应在开展前一周将组织开展的活动项目资料报送到“第二课堂成绩单”工作领导小组办公室，经校团委审核，并报分管校领导审批通过后，可先行组织开展活动，工作领导小组将及时组织评议，对活动项目进行审核、论证、入库。</w:t>
      </w:r>
    </w:p>
    <w:p>
      <w:pPr>
        <w:spacing w:line="276" w:lineRule="auto"/>
        <w:rPr>
          <w:sz w:val="22"/>
        </w:rPr>
      </w:pPr>
      <w:r>
        <w:rPr>
          <w:rFonts w:hint="eastAsia"/>
          <w:sz w:val="22"/>
        </w:rPr>
        <w:t xml:space="preserve">    第十条</w:t>
      </w:r>
      <w:r>
        <w:rPr>
          <w:sz w:val="22"/>
        </w:rPr>
        <w:t xml:space="preserve"> 建立“第二课堂成绩单”项目择优选拔和淘汰退出机制，依托每学期的“第二课堂成绩单”项目申报、考核，工作组对项目库活动项目在考评周期内的实际开展情况和开展效果进行评分、评级，对于审核不合格的项目予以降级或退出处理，选拔评分较高的优秀项目进入项目库。</w:t>
      </w:r>
    </w:p>
    <w:p>
      <w:pPr>
        <w:jc w:val="center"/>
        <w:rPr>
          <w:b/>
          <w:sz w:val="24"/>
        </w:rPr>
      </w:pPr>
      <w:r>
        <w:rPr>
          <w:rFonts w:hint="eastAsia"/>
          <w:b/>
          <w:sz w:val="24"/>
        </w:rPr>
        <w:t>第四章</w:t>
      </w:r>
      <w:r>
        <w:rPr>
          <w:b/>
          <w:sz w:val="24"/>
        </w:rPr>
        <w:t xml:space="preserve"> 信息管理</w:t>
      </w:r>
    </w:p>
    <w:p>
      <w:pPr>
        <w:spacing w:line="276" w:lineRule="auto"/>
        <w:rPr>
          <w:sz w:val="22"/>
        </w:rPr>
      </w:pPr>
      <w:r>
        <w:rPr>
          <w:rFonts w:hint="eastAsia"/>
          <w:sz w:val="22"/>
        </w:rPr>
        <w:t xml:space="preserve">    第十一条</w:t>
      </w:r>
      <w:r>
        <w:rPr>
          <w:sz w:val="22"/>
        </w:rPr>
        <w:t xml:space="preserve"> “第二课堂成绩单”工作实行信息化管理,通过团中央开发的“到梦空间”信息管理系统实现“第二课堂成绩单”项目在线发布、学生在线选择报名、在线评价反馈、在线学分记录等功能,系统将自动记录学生基本信息、参与第二课堂信息、成绩信息等,逐步形成学生成长数据池</w:t>
      </w:r>
      <w:r>
        <w:rPr>
          <w:rFonts w:hint="eastAsia"/>
          <w:sz w:val="22"/>
        </w:rPr>
        <w:t>，</w:t>
      </w:r>
      <w:r>
        <w:rPr>
          <w:sz w:val="22"/>
        </w:rPr>
        <w:t>生成学生个人的第二课堂成绩单。</w:t>
      </w:r>
    </w:p>
    <w:p>
      <w:pPr>
        <w:spacing w:line="276" w:lineRule="auto"/>
        <w:rPr>
          <w:sz w:val="22"/>
        </w:rPr>
      </w:pPr>
      <w:r>
        <w:rPr>
          <w:sz w:val="22"/>
        </w:rPr>
        <w:t xml:space="preserve">    </w:t>
      </w:r>
      <w:r>
        <w:rPr>
          <w:rFonts w:hint="eastAsia"/>
          <w:sz w:val="22"/>
        </w:rPr>
        <w:t>第十二条</w:t>
      </w:r>
      <w:r>
        <w:rPr>
          <w:sz w:val="22"/>
        </w:rPr>
        <w:t xml:space="preserve"> 对于已经通过“第二课堂成绩单”工作领导小组审核论证纳入第二课堂项目库的项目，项目组织方提前通过预先设定的账号登录“到梦空间”信息管理系统发布项目通知</w:t>
      </w:r>
      <w:r>
        <w:rPr>
          <w:rFonts w:hint="eastAsia"/>
          <w:sz w:val="22"/>
        </w:rPr>
        <w:t>，</w:t>
      </w:r>
      <w:r>
        <w:rPr>
          <w:sz w:val="22"/>
        </w:rPr>
        <w:t>在项目实施完成后按要求给予学生成绩。</w:t>
      </w:r>
    </w:p>
    <w:p>
      <w:pPr>
        <w:spacing w:line="276" w:lineRule="auto"/>
        <w:rPr>
          <w:sz w:val="22"/>
        </w:rPr>
      </w:pPr>
      <w:r>
        <w:rPr>
          <w:rFonts w:hint="eastAsia"/>
          <w:sz w:val="22"/>
        </w:rPr>
        <w:t>第十三条</w:t>
      </w:r>
      <w:r>
        <w:rPr>
          <w:sz w:val="22"/>
        </w:rPr>
        <w:t xml:space="preserve"> 学生通过个人系统账号登录“到梦空间”信息管理系统</w:t>
      </w:r>
      <w:r>
        <w:rPr>
          <w:rFonts w:hint="eastAsia"/>
          <w:sz w:val="22"/>
        </w:rPr>
        <w:t>，</w:t>
      </w:r>
      <w:r>
        <w:rPr>
          <w:sz w:val="22"/>
        </w:rPr>
        <w:t>查看项目信息</w:t>
      </w:r>
      <w:r>
        <w:rPr>
          <w:rFonts w:hint="eastAsia"/>
          <w:sz w:val="22"/>
        </w:rPr>
        <w:t>，</w:t>
      </w:r>
      <w:r>
        <w:rPr>
          <w:sz w:val="22"/>
        </w:rPr>
        <w:t>根据个人成长发展需求和兴趣爱好自主选择项目</w:t>
      </w:r>
      <w:r>
        <w:rPr>
          <w:rFonts w:hint="eastAsia"/>
          <w:sz w:val="22"/>
        </w:rPr>
        <w:t>，</w:t>
      </w:r>
      <w:r>
        <w:rPr>
          <w:sz w:val="22"/>
        </w:rPr>
        <w:t>按要求参加项目</w:t>
      </w:r>
      <w:r>
        <w:rPr>
          <w:rFonts w:hint="eastAsia"/>
          <w:sz w:val="22"/>
        </w:rPr>
        <w:t>，</w:t>
      </w:r>
      <w:r>
        <w:rPr>
          <w:sz w:val="22"/>
        </w:rPr>
        <w:t>并对项目进行评价反馈。</w:t>
      </w:r>
    </w:p>
    <w:p>
      <w:pPr>
        <w:jc w:val="center"/>
        <w:rPr>
          <w:b/>
          <w:sz w:val="24"/>
        </w:rPr>
      </w:pPr>
      <w:r>
        <w:rPr>
          <w:rFonts w:hint="eastAsia"/>
          <w:b/>
          <w:sz w:val="24"/>
        </w:rPr>
        <w:t>第五章</w:t>
      </w:r>
      <w:r>
        <w:rPr>
          <w:b/>
          <w:sz w:val="24"/>
        </w:rPr>
        <w:t xml:space="preserve"> 成绩管理</w:t>
      </w:r>
    </w:p>
    <w:p>
      <w:pPr>
        <w:spacing w:line="276" w:lineRule="auto"/>
        <w:rPr>
          <w:sz w:val="22"/>
        </w:rPr>
      </w:pPr>
      <w:r>
        <w:rPr>
          <w:rFonts w:hint="eastAsia"/>
          <w:sz w:val="22"/>
        </w:rPr>
        <w:t xml:space="preserve">    第十四条</w:t>
      </w:r>
      <w:r>
        <w:rPr>
          <w:sz w:val="22"/>
        </w:rPr>
        <w:t xml:space="preserve"> “第二课堂成绩单”成绩记录使用团中央开发的“到梦空间”网络管理系统进行认证管理。学生“第二课堂成绩单”成绩采用学分方式计量。</w:t>
      </w:r>
    </w:p>
    <w:p>
      <w:pPr>
        <w:spacing w:line="276" w:lineRule="auto"/>
        <w:rPr>
          <w:sz w:val="22"/>
        </w:rPr>
      </w:pPr>
      <w:r>
        <w:rPr>
          <w:rFonts w:hint="eastAsia"/>
          <w:sz w:val="22"/>
        </w:rPr>
        <w:t xml:space="preserve">    第十五条</w:t>
      </w:r>
      <w:r>
        <w:rPr>
          <w:sz w:val="22"/>
        </w:rPr>
        <w:t xml:space="preserve"> “第二课堂学分”是指我校全日制本科生在校学习期间，根据自己的特长、爱好和成长需求，通过参与第二课堂活动，取得具有一定创新意义的智力劳动成果或其他优秀成果，按一定程序审核认定后确认赋予的学分。</w:t>
      </w:r>
    </w:p>
    <w:p>
      <w:pPr>
        <w:spacing w:line="276" w:lineRule="auto"/>
        <w:rPr>
          <w:sz w:val="22"/>
        </w:rPr>
      </w:pPr>
      <w:r>
        <w:rPr>
          <w:rFonts w:hint="eastAsia"/>
          <w:sz w:val="22"/>
        </w:rPr>
        <w:t xml:space="preserve">    第十六条</w:t>
      </w:r>
      <w:r>
        <w:rPr>
          <w:sz w:val="22"/>
        </w:rPr>
        <w:t xml:space="preserve"> 本科生在校期间，除必须完成人才培养方案所规定的第一课堂学分外，还须于毕业前修满至少8个“第二课堂”学分方能毕业。其中，思想素质养成不低于1个学分，文艺体育项目不低于1个学分，志愿公益服务不低于1个学分，创新创业创造不低于2个学分，实践实习实训不低于1个学分，劳动体验课程不低于1个学分，技能特长培养不低于1个学分。</w:t>
      </w:r>
    </w:p>
    <w:p>
      <w:pPr>
        <w:spacing w:line="276" w:lineRule="auto"/>
        <w:rPr>
          <w:sz w:val="22"/>
        </w:rPr>
      </w:pPr>
      <w:r>
        <w:rPr>
          <w:rFonts w:hint="eastAsia"/>
          <w:sz w:val="22"/>
        </w:rPr>
        <w:t xml:space="preserve">    第十七条</w:t>
      </w:r>
      <w:r>
        <w:rPr>
          <w:sz w:val="22"/>
        </w:rPr>
        <w:t xml:space="preserve"> 学生应于第六学期末修满“第二课堂”学分。未达到8个“第二课堂”学分的学生，可在第七学期参加由“第二课堂成绩单”制度工作领导小组指定的第二课堂活动以补修学分。</w:t>
      </w:r>
    </w:p>
    <w:p>
      <w:pPr>
        <w:spacing w:line="276" w:lineRule="auto"/>
        <w:rPr>
          <w:sz w:val="22"/>
        </w:rPr>
      </w:pPr>
      <w:r>
        <w:rPr>
          <w:rFonts w:hint="eastAsia"/>
          <w:sz w:val="22"/>
        </w:rPr>
        <w:t xml:space="preserve">    第十八条</w:t>
      </w:r>
      <w:r>
        <w:rPr>
          <w:sz w:val="22"/>
        </w:rPr>
        <w:t xml:space="preserve"> 每年5—6月份和11—12月两次启动“第二课堂成绩单”学分审核、认定程序，实行班级、学院和学校三级申报、审核制度。院级和校级审核单位按照《湖北大学“第二课堂”学分认定办法》对学生的学分申请进行审核，审核通过后进行公示，待完成校级审核和公示后予以认定。</w:t>
      </w:r>
    </w:p>
    <w:p>
      <w:pPr>
        <w:spacing w:line="276" w:lineRule="auto"/>
        <w:rPr>
          <w:sz w:val="22"/>
        </w:rPr>
      </w:pPr>
      <w:r>
        <w:rPr>
          <w:rFonts w:hint="eastAsia"/>
          <w:sz w:val="22"/>
        </w:rPr>
        <w:t xml:space="preserve">    第十九条</w:t>
      </w:r>
      <w:r>
        <w:rPr>
          <w:sz w:val="22"/>
        </w:rPr>
        <w:t xml:space="preserve"> 学校对第二课堂各项目进行检查与总结，将结果纳入学院共青团工作考核和绩效管理考核。同时，凡发现弄虚作假者，经调查若情况属实，将取消该项目所得分数，并依据相关规定对有关人员进行处理。</w:t>
      </w:r>
    </w:p>
    <w:p>
      <w:pPr>
        <w:jc w:val="center"/>
        <w:rPr>
          <w:b/>
          <w:sz w:val="24"/>
        </w:rPr>
      </w:pPr>
      <w:r>
        <w:rPr>
          <w:rFonts w:hint="eastAsia"/>
          <w:b/>
          <w:sz w:val="24"/>
        </w:rPr>
        <w:t>第六章</w:t>
      </w:r>
      <w:r>
        <w:rPr>
          <w:b/>
          <w:sz w:val="24"/>
        </w:rPr>
        <w:t xml:space="preserve"> 组织保障</w:t>
      </w:r>
    </w:p>
    <w:p>
      <w:pPr>
        <w:spacing w:line="276" w:lineRule="auto"/>
        <w:rPr>
          <w:sz w:val="22"/>
        </w:rPr>
      </w:pPr>
      <w:r>
        <w:rPr>
          <w:rFonts w:hint="eastAsia"/>
          <w:sz w:val="22"/>
        </w:rPr>
        <w:t xml:space="preserve">    第二十条</w:t>
      </w:r>
      <w:r>
        <w:rPr>
          <w:sz w:val="22"/>
        </w:rPr>
        <w:t xml:space="preserve"> 学校在师资、经费、场地、后勤等方面为制度实施提供保障把共青团第二课堂体系建设经费纳入人才培养成本，把教师指导学生参加共青团第二课堂计入工作量，鼓励专业教师和校友等社会力量参与共青团第二课堂建设。</w:t>
      </w:r>
    </w:p>
    <w:p>
      <w:pPr>
        <w:jc w:val="center"/>
        <w:rPr>
          <w:b/>
          <w:sz w:val="24"/>
        </w:rPr>
      </w:pPr>
      <w:r>
        <w:rPr>
          <w:rFonts w:hint="eastAsia"/>
          <w:b/>
          <w:sz w:val="24"/>
        </w:rPr>
        <w:t>第七章</w:t>
      </w:r>
      <w:r>
        <w:rPr>
          <w:b/>
          <w:sz w:val="24"/>
        </w:rPr>
        <w:t xml:space="preserve"> 附则</w:t>
      </w:r>
    </w:p>
    <w:p>
      <w:pPr>
        <w:spacing w:line="276" w:lineRule="auto"/>
        <w:rPr>
          <w:sz w:val="22"/>
        </w:rPr>
      </w:pPr>
      <w:r>
        <w:rPr>
          <w:rFonts w:hint="eastAsia"/>
          <w:sz w:val="22"/>
        </w:rPr>
        <w:t xml:space="preserve">    第二十一条</w:t>
      </w:r>
      <w:r>
        <w:rPr>
          <w:sz w:val="22"/>
        </w:rPr>
        <w:t xml:space="preserve"> 本办法自公布之日起执行，由学校“第二课堂成绩单”工作领导小组办公室负责解释</w:t>
      </w:r>
      <w:r>
        <w:rPr>
          <w:rFonts w:hint="eastAsia"/>
          <w:sz w:val="22"/>
        </w:rPr>
        <w:t xml:space="preserve">。 </w:t>
      </w:r>
    </w:p>
    <w:p>
      <w:pPr>
        <w:spacing w:line="276" w:lineRule="auto"/>
        <w:rPr>
          <w:sz w:val="22"/>
        </w:rPr>
      </w:pPr>
      <w:r>
        <w:rPr>
          <w:sz w:val="24"/>
        </w:rPr>
        <w:drawing>
          <wp:anchor distT="0" distB="0" distL="114300" distR="114300" simplePos="0" relativeHeight="251660288" behindDoc="0" locked="0" layoutInCell="1" allowOverlap="1">
            <wp:simplePos x="0" y="0"/>
            <wp:positionH relativeFrom="column">
              <wp:posOffset>2911475</wp:posOffset>
            </wp:positionH>
            <wp:positionV relativeFrom="paragraph">
              <wp:posOffset>104140</wp:posOffset>
            </wp:positionV>
            <wp:extent cx="1524000" cy="138112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1524000" cy="1381125"/>
                    </a:xfrm>
                    <a:prstGeom prst="rect">
                      <a:avLst/>
                    </a:prstGeom>
                  </pic:spPr>
                </pic:pic>
              </a:graphicData>
            </a:graphic>
          </wp:anchor>
        </w:drawing>
      </w:r>
    </w:p>
    <w:p>
      <w:pPr>
        <w:spacing w:line="276" w:lineRule="auto"/>
        <w:rPr>
          <w:sz w:val="22"/>
        </w:rPr>
      </w:pPr>
    </w:p>
    <w:p>
      <w:pPr>
        <w:spacing w:line="276" w:lineRule="auto"/>
        <w:rPr>
          <w:sz w:val="22"/>
        </w:rPr>
      </w:pPr>
      <w:r>
        <w:rPr>
          <w:sz w:val="22"/>
        </w:rPr>
        <w:t xml:space="preserve">                                               </w:t>
      </w:r>
      <w:r>
        <w:rPr>
          <w:rFonts w:hint="eastAsia"/>
          <w:sz w:val="22"/>
        </w:rPr>
        <w:t>湖北大学</w:t>
      </w:r>
      <w:r>
        <w:rPr>
          <w:sz w:val="22"/>
        </w:rPr>
        <w:t>本科生院</w:t>
      </w:r>
      <w:bookmarkStart w:id="0" w:name="_GoBack"/>
      <w:bookmarkEnd w:id="0"/>
    </w:p>
    <w:p>
      <w:pPr>
        <w:spacing w:line="276" w:lineRule="auto"/>
        <w:rPr>
          <w:sz w:val="22"/>
        </w:rPr>
      </w:pPr>
    </w:p>
    <w:p>
      <w:pPr>
        <w:spacing w:line="276" w:lineRule="auto"/>
        <w:rPr>
          <w:sz w:val="22"/>
        </w:rPr>
      </w:pPr>
      <w:r>
        <w:rPr>
          <w:rFonts w:hint="eastAsia"/>
          <w:sz w:val="22"/>
        </w:rPr>
        <w:t xml:space="preserve">                                               2021.01.06</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JlMDI1NDQxYjdiODE4NDE2ZGFjYmQzZTEwNWZjMWUifQ=="/>
  </w:docVars>
  <w:rsids>
    <w:rsidRoot w:val="00C414D7"/>
    <w:rsid w:val="001D1A7B"/>
    <w:rsid w:val="001F03CB"/>
    <w:rsid w:val="00717AB2"/>
    <w:rsid w:val="00C414D7"/>
    <w:rsid w:val="2A0D6F2E"/>
    <w:rsid w:val="4BCC21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475</Words>
  <Characters>2708</Characters>
  <Lines>22</Lines>
  <Paragraphs>6</Paragraphs>
  <TotalTime>0</TotalTime>
  <ScaleCrop>false</ScaleCrop>
  <LinksUpToDate>false</LinksUpToDate>
  <CharactersWithSpaces>3177</CharactersWithSpaces>
  <Application>WPS Office_11.1.0.12650_F1E327BC-269C-435d-A152-05C5408002CA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2022-10-26T07:13:00Z</dcterms:created>
  <dc:creator>杨之帆</dc:creator>
  <cp:lastModifiedBy>鱼小鱼丫</cp:lastModifiedBy>
  <dcterms:modified xsi:type="dcterms:W3CDTF">2022-11-04T05:28:17Z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2052-11.1.0.12650</vt:lpwstr>
  </property>
  <property fmtid="{D5CDD505-2E9C-101B-9397-08002B2CF9AE}" pid="3" name="ICV">
    <vt:lpwstr>BCF919D74F294DBBB34914BFD9029DA5</vt:lpwstr>
  </property>
</Properties>
</file>